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05-0564/1302/2024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86MS0013-01-2024-003393-87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административных правонарушениях, предусмотренных ч.1 ст.14.1, ч.2 ст.14.1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Матлабали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ExternalSystemDefinedgrp-4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ExternalSystemDefinedgrp-3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 </w:t>
      </w:r>
      <w:r>
        <w:rPr>
          <w:rStyle w:val="cat-ExternalSystemDefinedgrp-3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Единства, д. 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и багажа на транспортном средстве марки </w:t>
      </w:r>
      <w:r>
        <w:rPr>
          <w:rStyle w:val="cat-CarMakeModelgrp-29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CarNumbergrp-30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1 ст. 14.1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2024 года в 10 час. 15 мин.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ул. Единства, д. 10,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и багажа на транспортном средстве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9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CarNumbergrp-30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2 ст. 14.1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 2 Сургутского судебного района Ханты-Мансийского автономного округа – Югры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 мая 2024 года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 дела, на основании ст.4.4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административных правонарушений, предусмотренных ч.1 </w:t>
      </w:r>
      <w:r>
        <w:rPr>
          <w:rFonts w:ascii="Times New Roman" w:eastAsia="Times New Roman" w:hAnsi="Times New Roman" w:cs="Times New Roman"/>
          <w:sz w:val="28"/>
          <w:szCs w:val="28"/>
        </w:rPr>
        <w:t>ст.14.1 и ч.2 ст.14.1 Кодекса Российской Федерации об административных правонарушениях объединены в одно производство.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№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7815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01.04.2024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ДПС ОРДПС ОГИБДД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в ходе выявления административного правонарушения, согласно которых свою вину признал в полном объёме, пояснив, что он действительно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 и без специального разрешения- лицензии, осуществляя услуги по перевозке пассажиров и багажа на указанном транспортном средстве;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скриншотами экрана мобильного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доказательствами.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01.04.2024 </w:t>
      </w:r>
      <w:r>
        <w:rPr>
          <w:rFonts w:ascii="Times New Roman" w:eastAsia="Times New Roman" w:hAnsi="Times New Roman" w:cs="Times New Roman"/>
          <w:sz w:val="28"/>
          <w:szCs w:val="28"/>
        </w:rPr>
        <w:t>г.; рапортом инспектора ДПС ОРДПС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данными в ходе выявления административного правонарушения, согласно которых свою вину признал в полном объёме, пояснив, что он действительно осуществлял предпринимательскую деятельность в качестве индивидуального предпринимателя без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и без специального разрешения- лицензии, осуществляя услуги по перевозке пассажиров и багажа на указанном транспортном средстве; скриншотами экрана мобильного телефона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 и другими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 4.4 Кодекса Российской Федерации об административных правонарушениях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размер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суд учитывает обстоятельства, характеризующие степень общественной опасности административного правонарушения и 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Джабаров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по ч.2 ст.14.1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минимальном размере без конфискации изготовленной продукции, орудий производства и сырья.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Матлабали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по данной статье в виде административного штрафа в размере 2 000 (две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8"/>
          <w:szCs w:val="28"/>
        </w:rPr>
        <w:t>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0412365400135005642414182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2rplc-9">
    <w:name w:val="cat-ExternalSystemDefined grp-42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UserDefinedgrp-44rplc-12">
    <w:name w:val="cat-UserDefined grp-44 rplc-12"/>
    <w:basedOn w:val="DefaultParagraphFont"/>
  </w:style>
  <w:style w:type="character" w:customStyle="1" w:styleId="cat-ExternalSystemDefinedgrp-41rplc-15">
    <w:name w:val="cat-ExternalSystemDefined grp-41 rplc-15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ExternalSystemDefinedgrp-38rplc-17">
    <w:name w:val="cat-ExternalSystemDefined grp-38 rplc-17"/>
    <w:basedOn w:val="DefaultParagraphFont"/>
  </w:style>
  <w:style w:type="character" w:customStyle="1" w:styleId="cat-ExternalSystemDefinedgrp-40rplc-19">
    <w:name w:val="cat-ExternalSystemDefined grp-40 rplc-19"/>
    <w:basedOn w:val="DefaultParagraphFont"/>
  </w:style>
  <w:style w:type="character" w:customStyle="1" w:styleId="cat-CarMakeModelgrp-29rplc-24">
    <w:name w:val="cat-CarMakeModel grp-29 rplc-24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CarNumbergrp-30rplc-26">
    <w:name w:val="cat-CarNumber grp-30 rplc-26"/>
    <w:basedOn w:val="DefaultParagraphFont"/>
  </w:style>
  <w:style w:type="character" w:customStyle="1" w:styleId="cat-CarMakeModelgrp-29rplc-32">
    <w:name w:val="cat-CarMakeModel grp-29 rplc-32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CarNumbergrp-30rplc-34">
    <w:name w:val="cat-CarNumber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